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4737BE" w:rsidRPr="004737BE" w:rsidTr="00600AEC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AEC" w:rsidRPr="00600AEC" w:rsidRDefault="00600AEC" w:rsidP="00E0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737BE" w:rsidRPr="004737BE" w:rsidRDefault="0042701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16.6pt;margin-top:.4pt;width:79.6pt;height:9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<v:textbox>
                    <w:txbxContent>
                      <w:p w:rsidR="004737BE" w:rsidRDefault="004737BE" w:rsidP="004737B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0391FA" wp14:editId="1D03F4AC">
                              <wp:extent cx="752475" cy="10668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BCE1D96" wp14:editId="6D51D8AF">
                              <wp:extent cx="790575" cy="8382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37BE" w:rsidRPr="004737BE">
              <w:rPr>
                <w:rFonts w:ascii="Times New Roman" w:eastAsia="Calibri" w:hAnsi="Times New Roman" w:cs="Times New Roman"/>
                <w:b/>
                <w:bCs/>
              </w:rPr>
              <w:t>Благовар районы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муниципаль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районының</w:t>
            </w:r>
            <w:proofErr w:type="spellEnd"/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Яма</w:t>
            </w:r>
            <w:proofErr w:type="gram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k</w:t>
            </w:r>
            <w:proofErr w:type="gram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ай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ауыл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советы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ауыл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билә</w:t>
            </w:r>
            <w:proofErr w:type="gram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м</w:t>
            </w:r>
            <w:proofErr w:type="gram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>әһе</w:t>
            </w:r>
            <w:proofErr w:type="spellEnd"/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e-BY"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хакимияте</w:t>
            </w:r>
            <w:proofErr w:type="spellEnd"/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 xml:space="preserve">452748, </w:t>
            </w:r>
            <w:proofErr w:type="spellStart"/>
            <w:r w:rsidRPr="004737BE">
              <w:rPr>
                <w:rFonts w:ascii="Times New Roman" w:eastAsia="Calibri" w:hAnsi="Times New Roman" w:cs="Times New Roman"/>
                <w:sz w:val="18"/>
                <w:szCs w:val="18"/>
              </w:rPr>
              <w:t>Ямаkай</w:t>
            </w:r>
            <w:proofErr w:type="spellEnd"/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 xml:space="preserve"> ауылы,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Сәскә урамы, 3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8(34747)3-16-31;3-16-37</w:t>
            </w:r>
          </w:p>
          <w:p w:rsidR="004737BE" w:rsidRPr="004737BE" w:rsidRDefault="004737BE" w:rsidP="004737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</w:pPr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proofErr w:type="spellStart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600AEC" w:rsidRDefault="00600AEC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37BE">
              <w:rPr>
                <w:rFonts w:ascii="Times New Roman" w:eastAsia="Calibri" w:hAnsi="Times New Roman" w:cs="Times New Roman"/>
                <w:b/>
                <w:bCs/>
              </w:rPr>
              <w:t>Администрация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37BE">
              <w:rPr>
                <w:rFonts w:ascii="Times New Roman" w:eastAsia="Calibri" w:hAnsi="Times New Roman" w:cs="Times New Roman"/>
                <w:b/>
                <w:bCs/>
              </w:rPr>
              <w:t>сельского поселения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Ямакаевский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сельсовет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737BE">
              <w:rPr>
                <w:rFonts w:ascii="Times New Roman" w:eastAsia="Calibri" w:hAnsi="Times New Roman" w:cs="Times New Roman"/>
                <w:b/>
                <w:bCs/>
              </w:rPr>
              <w:t>муниципального района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4737BE">
              <w:rPr>
                <w:rFonts w:ascii="Times New Roman" w:eastAsia="Calibri" w:hAnsi="Times New Roman" w:cs="Times New Roman"/>
                <w:b/>
                <w:bCs/>
              </w:rPr>
              <w:t>Благоварский</w:t>
            </w:r>
            <w:proofErr w:type="spellEnd"/>
            <w:r w:rsidRPr="004737BE">
              <w:rPr>
                <w:rFonts w:ascii="Times New Roman" w:eastAsia="Calibri" w:hAnsi="Times New Roman" w:cs="Times New Roman"/>
                <w:b/>
                <w:bCs/>
              </w:rPr>
              <w:t xml:space="preserve"> район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452748, село Ямакай,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ул.Цветочная, 3</w:t>
            </w:r>
          </w:p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4737BE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Тел. 8(34747)3-16-31; 3-16-37</w:t>
            </w:r>
          </w:p>
          <w:p w:rsidR="004737BE" w:rsidRPr="004737BE" w:rsidRDefault="004737BE" w:rsidP="00473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proofErr w:type="spellStart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4737B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</w:tbl>
    <w:p w:rsidR="004737BE" w:rsidRPr="004737BE" w:rsidRDefault="004737BE" w:rsidP="004737BE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  <w:lang w:val="be-BY"/>
        </w:rPr>
      </w:pPr>
      <w:r w:rsidRPr="004737BE"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  <w:lang w:val="be-BY"/>
        </w:rPr>
        <w:t xml:space="preserve">           Ҡ</w:t>
      </w:r>
      <w:r w:rsidRPr="004737BE"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</w:rPr>
        <w:t>АРАР                                                                                ПОСТАНОВЛЕНИЕ</w:t>
      </w:r>
    </w:p>
    <w:p w:rsidR="004737BE" w:rsidRPr="004737BE" w:rsidRDefault="004737BE" w:rsidP="004737BE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8"/>
          <w:szCs w:val="28"/>
          <w:lang w:val="be-BY"/>
        </w:rPr>
      </w:pPr>
    </w:p>
    <w:p w:rsidR="004737BE" w:rsidRPr="004737BE" w:rsidRDefault="004737BE" w:rsidP="004737BE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37BE">
        <w:rPr>
          <w:rFonts w:ascii="Times New Roman" w:eastAsia="Calibri" w:hAnsi="Times New Roman" w:cs="Times New Roman"/>
          <w:b/>
          <w:bCs/>
          <w:color w:val="000000"/>
          <w:spacing w:val="-10"/>
          <w:sz w:val="28"/>
          <w:szCs w:val="28"/>
        </w:rPr>
        <w:tab/>
        <w:t xml:space="preserve">  22  декабрь 2021 й.                          №  30                           22   декабря 2021 г.</w:t>
      </w:r>
    </w:p>
    <w:p w:rsidR="004737BE" w:rsidRPr="004737BE" w:rsidRDefault="004737BE" w:rsidP="004737BE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73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37BE" w:rsidRPr="004737BE" w:rsidRDefault="004737BE" w:rsidP="0047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7BE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4737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37BE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</w:t>
      </w:r>
      <w:proofErr w:type="gramStart"/>
      <w:r w:rsidRPr="004737BE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</w:t>
      </w:r>
    </w:p>
    <w:p w:rsidR="004737BE" w:rsidRPr="004737BE" w:rsidRDefault="004737BE" w:rsidP="0047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7BE" w:rsidRPr="004737BE" w:rsidRDefault="004737BE" w:rsidP="004737BE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Ямакаевский</w:t>
      </w:r>
      <w:proofErr w:type="spell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ПОСТАНОВЛЯЕТ:                                                                                         </w:t>
      </w:r>
    </w:p>
    <w:p w:rsidR="004737BE" w:rsidRPr="004737BE" w:rsidRDefault="004737BE" w:rsidP="00473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перечень главных </w:t>
      </w:r>
      <w:proofErr w:type="gramStart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>Благоварский</w:t>
      </w:r>
      <w:proofErr w:type="spellEnd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согласно приложению №1.</w:t>
      </w:r>
    </w:p>
    <w:p w:rsidR="004737BE" w:rsidRPr="004737BE" w:rsidRDefault="004737BE" w:rsidP="004737BE">
      <w:pPr>
        <w:keepNext/>
        <w:tabs>
          <w:tab w:val="left" w:pos="851"/>
        </w:tabs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2.Утвердить порядок и сроки внесения изменений в перечень главных </w:t>
      </w:r>
      <w:proofErr w:type="gram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администраторов источников финансирования дефицита бюджета сельского </w:t>
      </w:r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поселения</w:t>
      </w:r>
      <w:proofErr w:type="gram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Ямакаевский</w:t>
      </w:r>
      <w:proofErr w:type="spell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согласно приложению № 2.</w:t>
      </w:r>
    </w:p>
    <w:p w:rsidR="004737BE" w:rsidRPr="004737BE" w:rsidRDefault="004737BE" w:rsidP="004737B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 xml:space="preserve">3.Настоящее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годов.</w:t>
      </w:r>
    </w:p>
    <w:p w:rsidR="004737BE" w:rsidRPr="004737BE" w:rsidRDefault="004737BE" w:rsidP="00473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737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37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сельского поселения</w:t>
      </w:r>
      <w:r w:rsidRPr="00473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737BE">
        <w:rPr>
          <w:rFonts w:ascii="Times New Roman" w:hAnsi="Times New Roman" w:cs="Times New Roman"/>
          <w:color w:val="000000" w:themeColor="text1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37BE">
        <w:rPr>
          <w:rFonts w:ascii="Times New Roman" w:hAnsi="Times New Roman" w:cs="Times New Roman"/>
          <w:sz w:val="28"/>
          <w:szCs w:val="28"/>
        </w:rPr>
        <w:t>сельсовет.</w:t>
      </w:r>
    </w:p>
    <w:p w:rsidR="004737BE" w:rsidRPr="004737BE" w:rsidRDefault="004737BE" w:rsidP="00473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proofErr w:type="gramStart"/>
      <w:r w:rsidRPr="004737B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737BE">
        <w:rPr>
          <w:rFonts w:ascii="Times New Roman" w:hAnsi="Times New Roman" w:cs="Times New Roman"/>
          <w:bCs/>
          <w:sz w:val="28"/>
          <w:szCs w:val="28"/>
        </w:rPr>
        <w:t>Глав  сельского поселения</w:t>
      </w: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37BE">
        <w:rPr>
          <w:rFonts w:ascii="Times New Roman" w:hAnsi="Times New Roman" w:cs="Times New Roman"/>
          <w:bCs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</w:t>
      </w:r>
      <w:proofErr w:type="spellStart"/>
      <w:r w:rsidRPr="004737BE">
        <w:rPr>
          <w:rFonts w:ascii="Times New Roman" w:hAnsi="Times New Roman" w:cs="Times New Roman"/>
          <w:bCs/>
          <w:sz w:val="28"/>
          <w:szCs w:val="28"/>
        </w:rPr>
        <w:t>А.А.Хусаинов</w:t>
      </w:r>
      <w:proofErr w:type="spellEnd"/>
      <w:r w:rsidRPr="004737B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737B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42701C" w:rsidRPr="004737BE" w:rsidRDefault="0042701C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4737BE" w:rsidRPr="004737BE" w:rsidRDefault="004737BE" w:rsidP="004737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4737BE" w:rsidRPr="004737BE" w:rsidTr="001B2517">
        <w:tc>
          <w:tcPr>
            <w:tcW w:w="5493" w:type="dxa"/>
          </w:tcPr>
          <w:p w:rsidR="004737BE" w:rsidRPr="004737BE" w:rsidRDefault="004737BE" w:rsidP="005B17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                                             к Постановлению  Администрации сельского поселения </w:t>
            </w:r>
            <w:proofErr w:type="spellStart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Ямакаевский</w:t>
            </w:r>
            <w:proofErr w:type="spell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2</w:t>
            </w:r>
            <w:r w:rsidR="004A1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 № 30</w:t>
            </w:r>
          </w:p>
        </w:tc>
      </w:tr>
    </w:tbl>
    <w:p w:rsidR="004737BE" w:rsidRPr="004737BE" w:rsidRDefault="004737BE" w:rsidP="004737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37BE" w:rsidRPr="004737BE" w:rsidRDefault="004737BE" w:rsidP="004737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737BE" w:rsidRPr="004737BE" w:rsidRDefault="004737BE" w:rsidP="004737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4737B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47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4737BE" w:rsidRPr="004737BE" w:rsidTr="001B2517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7BE" w:rsidRPr="004737BE" w:rsidRDefault="004737BE" w:rsidP="001B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7BE" w:rsidRPr="004737BE" w:rsidRDefault="004737BE" w:rsidP="0047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администратора источников финансирования дефицита бюджета </w:t>
            </w: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Ямакаевский</w:t>
            </w:r>
            <w:proofErr w:type="spell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4737BE" w:rsidRPr="004737BE" w:rsidTr="001B2517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BE" w:rsidRPr="004737BE" w:rsidRDefault="004737BE" w:rsidP="001B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7BE" w:rsidRPr="004737BE" w:rsidRDefault="004737BE" w:rsidP="001B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группы, подгруппы, статьи и вида </w:t>
            </w:r>
            <w:proofErr w:type="gramStart"/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7BE" w:rsidRPr="004737BE" w:rsidRDefault="004737BE" w:rsidP="001B2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37BE" w:rsidRPr="004737BE" w:rsidTr="001B2517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E" w:rsidRPr="004737BE" w:rsidRDefault="004737BE" w:rsidP="001B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BE" w:rsidRPr="004737BE" w:rsidRDefault="004737BE" w:rsidP="001B25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7BE" w:rsidRPr="004737BE" w:rsidRDefault="004737BE" w:rsidP="001B251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37BE" w:rsidRPr="004737BE" w:rsidTr="001B2517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4737B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Ямакаевский</w:t>
            </w:r>
            <w:proofErr w:type="spellEnd"/>
            <w:r w:rsidRPr="0047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737BE">
              <w:rPr>
                <w:rFonts w:ascii="Times New Roman" w:hAnsi="Times New Roman" w:cs="Times New Roman"/>
                <w:b/>
                <w:sz w:val="28"/>
                <w:szCs w:val="28"/>
              </w:rPr>
              <w:t>Благоварский</w:t>
            </w:r>
            <w:proofErr w:type="spellEnd"/>
            <w:r w:rsidRPr="0047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737BE" w:rsidRPr="004737BE" w:rsidTr="001B2517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737BE" w:rsidRPr="004737BE" w:rsidTr="001B2517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4737BE" w:rsidRPr="004737BE" w:rsidTr="001B2517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37BE" w:rsidRPr="004737BE" w:rsidTr="001B2517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7BE" w:rsidRPr="004737BE" w:rsidRDefault="004737BE" w:rsidP="001B2517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4737BE" w:rsidRPr="004737BE" w:rsidRDefault="004737BE" w:rsidP="004737B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7BE">
        <w:rPr>
          <w:sz w:val="28"/>
          <w:szCs w:val="28"/>
        </w:rPr>
        <w:br/>
      </w:r>
    </w:p>
    <w:p w:rsidR="004737BE" w:rsidRPr="004737BE" w:rsidRDefault="004737BE" w:rsidP="004737B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737BE" w:rsidRPr="004737BE" w:rsidTr="004737BE">
        <w:tc>
          <w:tcPr>
            <w:tcW w:w="4784" w:type="dxa"/>
          </w:tcPr>
          <w:p w:rsidR="004737BE" w:rsidRPr="004737BE" w:rsidRDefault="004737BE" w:rsidP="004737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риложение № 2                                                                                                                        к Постановлению 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Ямакаевский</w:t>
            </w:r>
            <w:proofErr w:type="spell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37BE">
              <w:rPr>
                <w:rFonts w:ascii="Times New Roman" w:hAnsi="Times New Roman" w:cs="Times New Roman"/>
                <w:sz w:val="28"/>
                <w:szCs w:val="28"/>
              </w:rPr>
              <w:t>лаговарский</w:t>
            </w:r>
            <w:proofErr w:type="spellEnd"/>
            <w:r w:rsidRPr="004737BE">
              <w:rPr>
                <w:rFonts w:ascii="Times New Roman" w:hAnsi="Times New Roman" w:cs="Times New Roman"/>
                <w:sz w:val="28"/>
                <w:szCs w:val="28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22 декабря 2021 г. № 30</w:t>
            </w:r>
          </w:p>
        </w:tc>
      </w:tr>
    </w:tbl>
    <w:p w:rsidR="004737BE" w:rsidRPr="004737BE" w:rsidRDefault="004737BE" w:rsidP="004737B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7BE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4737B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7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район                          Республики Башкортостан</w:t>
      </w:r>
    </w:p>
    <w:p w:rsidR="004737BE" w:rsidRPr="004737BE" w:rsidRDefault="004737BE" w:rsidP="004737B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737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4737BE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8" w:history="1">
        <w:r w:rsidRPr="004737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7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1568 и определяет порядок и сроки внесения изменений в перечень главных </w:t>
      </w:r>
      <w:proofErr w:type="gramStart"/>
      <w:r w:rsidRPr="004737B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47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737BE" w:rsidRPr="004737BE" w:rsidRDefault="004737BE" w:rsidP="004737BE">
      <w:pPr>
        <w:widowControl w:val="0"/>
        <w:numPr>
          <w:ilvl w:val="0"/>
          <w:numId w:val="1"/>
        </w:numPr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4737BE">
        <w:rPr>
          <w:rFonts w:ascii="Times New Roman" w:eastAsia="Times New Roman" w:hAnsi="Times New Roman" w:cs="Times New Roman"/>
          <w:sz w:val="28"/>
          <w:szCs w:val="28"/>
        </w:rPr>
        <w:t>Ямакаевский</w:t>
      </w:r>
      <w:proofErr w:type="spellEnd"/>
      <w:r w:rsidRPr="004737BE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4737BE" w:rsidRPr="004737BE" w:rsidRDefault="004737BE" w:rsidP="004737BE">
      <w:pPr>
        <w:rPr>
          <w:rFonts w:ascii="Times New Roman" w:hAnsi="Times New Roman" w:cs="Times New Roman"/>
          <w:sz w:val="28"/>
          <w:szCs w:val="28"/>
        </w:rPr>
      </w:pP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24DB9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E61DC"/>
    <w:rsid w:val="002F55EC"/>
    <w:rsid w:val="003F3FBA"/>
    <w:rsid w:val="0042701C"/>
    <w:rsid w:val="004737BE"/>
    <w:rsid w:val="004A1B14"/>
    <w:rsid w:val="005B17ED"/>
    <w:rsid w:val="00600AEC"/>
    <w:rsid w:val="00660E7B"/>
    <w:rsid w:val="00665F40"/>
    <w:rsid w:val="007016AA"/>
    <w:rsid w:val="00AC0B10"/>
    <w:rsid w:val="00B736D9"/>
    <w:rsid w:val="00BF6F25"/>
    <w:rsid w:val="00D24DB9"/>
    <w:rsid w:val="00D826B1"/>
    <w:rsid w:val="00E0306E"/>
    <w:rsid w:val="00E507CE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18</cp:revision>
  <dcterms:created xsi:type="dcterms:W3CDTF">2021-11-01T06:13:00Z</dcterms:created>
  <dcterms:modified xsi:type="dcterms:W3CDTF">2022-04-12T11:29:00Z</dcterms:modified>
</cp:coreProperties>
</file>